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Manutenzioni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e straordinari di tutto il patrimonio comunale (scuole, edifici, strade, cimiteri, ecc.), dell'adeguamento alle norme di sicurezza degli impianti tecnologici, dell'abbattimento delle barriere architettoniche; della gestione illuminazione pubblica, pulizia strade, sgombero neve, spargimento sale antighiaccio e arredo urbano.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alla manomissione dei sedimi delle vie, strade, piazze, ecc. di proprieta'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manutenzioni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Pronta 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mezzi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per seggi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impianti di riscaldamento - 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magazzino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squadre operative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scorte pezzi di ricambio ed attrezzature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